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C7592"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587C6D7" wp14:editId="1F2221C9">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2FE760F8" w14:textId="77777777" w:rsidR="003926CC" w:rsidRPr="004B174D" w:rsidRDefault="003926CC" w:rsidP="003926CC">
      <w:pPr>
        <w:jc w:val="center"/>
        <w:rPr>
          <w:b/>
          <w:bCs/>
          <w:sz w:val="40"/>
          <w:szCs w:val="40"/>
        </w:rPr>
      </w:pPr>
      <w:r w:rsidRPr="004B174D">
        <w:rPr>
          <w:b/>
          <w:bCs/>
          <w:sz w:val="40"/>
          <w:szCs w:val="40"/>
        </w:rPr>
        <w:t>ROZSUDEK</w:t>
      </w:r>
    </w:p>
    <w:p w14:paraId="5A7FD864"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759D6D69" w14:textId="4C401E37" w:rsidR="004A5914" w:rsidRPr="00914654" w:rsidRDefault="00914654" w:rsidP="00914654">
      <w:r w:rsidRPr="00914654">
        <w:t>Okresní soud v Tachově rozhodl v senátě složeném ze soudců Moniky Stuchlové, Štěpána Kuhna a Mgr. Michaely Řezníčkové jako předsedkyně senátu v hlavním líčení konaném dne 22. 2. 2023</w:t>
      </w:r>
    </w:p>
    <w:p w14:paraId="337B435D" w14:textId="77777777" w:rsidR="00F11093" w:rsidRDefault="00F11093" w:rsidP="008A0B5D">
      <w:pPr>
        <w:pStyle w:val="Nadpisstirozsudku"/>
      </w:pPr>
      <w:r w:rsidRPr="00F11093">
        <w:t>takto</w:t>
      </w:r>
      <w:r>
        <w:t>:</w:t>
      </w:r>
    </w:p>
    <w:p w14:paraId="723C4CEC" w14:textId="77777777" w:rsidR="00914654" w:rsidRDefault="00914654" w:rsidP="00914654">
      <w:pPr>
        <w:pStyle w:val="Neslovanvrok"/>
      </w:pPr>
      <w:r w:rsidRPr="00914654">
        <w:t>Obžalovaný</w:t>
      </w:r>
    </w:p>
    <w:p w14:paraId="01EE5FA2" w14:textId="12A9C3B5" w:rsidR="00914654" w:rsidRDefault="00914654" w:rsidP="00914654">
      <w:pPr>
        <w:pStyle w:val="Neslovanvrok"/>
      </w:pPr>
      <w:r>
        <w:t>[</w:t>
      </w:r>
      <w:r w:rsidRPr="00914654">
        <w:rPr>
          <w:shd w:val="clear" w:color="auto" w:fill="CCCCCC"/>
        </w:rPr>
        <w:t>jméno</w:t>
      </w:r>
      <w:r w:rsidRPr="00914654">
        <w:t xml:space="preserve">] </w:t>
      </w:r>
      <w:r>
        <w:t>[</w:t>
      </w:r>
      <w:r w:rsidRPr="00914654">
        <w:rPr>
          <w:shd w:val="clear" w:color="auto" w:fill="CCCCCC"/>
        </w:rPr>
        <w:t>příjmení</w:t>
      </w:r>
      <w:r w:rsidRPr="00914654">
        <w:t xml:space="preserve">], </w:t>
      </w:r>
      <w:r>
        <w:t>[</w:t>
      </w:r>
      <w:r w:rsidRPr="00914654">
        <w:rPr>
          <w:shd w:val="clear" w:color="auto" w:fill="CCCCCC"/>
        </w:rPr>
        <w:t>datum narození</w:t>
      </w:r>
      <w:r w:rsidRPr="00914654">
        <w:t>] v </w:t>
      </w:r>
      <w:r>
        <w:t>[</w:t>
      </w:r>
      <w:r w:rsidRPr="00914654">
        <w:rPr>
          <w:shd w:val="clear" w:color="auto" w:fill="CCCCCC"/>
        </w:rPr>
        <w:t>příjmení</w:t>
      </w:r>
      <w:r w:rsidRPr="00914654">
        <w:t xml:space="preserve">] </w:t>
      </w:r>
      <w:r>
        <w:t>[</w:t>
      </w:r>
      <w:r w:rsidRPr="00914654">
        <w:rPr>
          <w:shd w:val="clear" w:color="auto" w:fill="CCCCCC"/>
        </w:rPr>
        <w:t>jméno</w:t>
      </w:r>
      <w:r w:rsidRPr="00914654">
        <w:t xml:space="preserve">], státní příslušník </w:t>
      </w:r>
      <w:r>
        <w:t>[</w:t>
      </w:r>
      <w:r w:rsidRPr="00914654">
        <w:rPr>
          <w:shd w:val="clear" w:color="auto" w:fill="CCCCCC"/>
        </w:rPr>
        <w:t>země</w:t>
      </w:r>
      <w:r w:rsidRPr="00914654">
        <w:t xml:space="preserve">], trvale bytem </w:t>
      </w:r>
      <w:r>
        <w:t>[</w:t>
      </w:r>
      <w:r w:rsidRPr="00914654">
        <w:rPr>
          <w:shd w:val="clear" w:color="auto" w:fill="CCCCCC"/>
        </w:rPr>
        <w:t>adresa</w:t>
      </w:r>
      <w:r w:rsidRPr="00914654">
        <w:t xml:space="preserve">], </w:t>
      </w:r>
      <w:r>
        <w:t>[</w:t>
      </w:r>
      <w:r w:rsidRPr="00914654">
        <w:rPr>
          <w:shd w:val="clear" w:color="auto" w:fill="CCCCCC"/>
        </w:rPr>
        <w:t>země</w:t>
      </w:r>
      <w:r w:rsidRPr="00914654">
        <w:t xml:space="preserve">], t.č. ve vazbě ve </w:t>
      </w:r>
      <w:r>
        <w:t>[</w:t>
      </w:r>
      <w:r w:rsidRPr="00914654">
        <w:rPr>
          <w:shd w:val="clear" w:color="auto" w:fill="CCCCCC"/>
        </w:rPr>
        <w:t>stát. instituce</w:t>
      </w:r>
      <w:r w:rsidRPr="00914654">
        <w:t>],</w:t>
      </w:r>
    </w:p>
    <w:p w14:paraId="1FDC446B" w14:textId="77777777" w:rsidR="00914654" w:rsidRDefault="00914654" w:rsidP="00914654">
      <w:pPr>
        <w:pStyle w:val="Neslovanvrok"/>
        <w:jc w:val="center"/>
        <w:rPr>
          <w:b/>
        </w:rPr>
      </w:pPr>
      <w:r w:rsidRPr="00914654">
        <w:rPr>
          <w:b/>
        </w:rPr>
        <w:t>je vinen, že</w:t>
      </w:r>
    </w:p>
    <w:p w14:paraId="4F8F4E33" w14:textId="2B028BC0" w:rsidR="00914654" w:rsidRDefault="00914654" w:rsidP="00914654">
      <w:pPr>
        <w:pStyle w:val="slovanvrok"/>
      </w:pPr>
      <w:r w:rsidRPr="00914654">
        <w:t xml:space="preserve">dne 22. 8. 2022 v 10:55 hodin po předchozích vzájemných dohodách s přesně neustanovenými osobami užívajícími telefonní čísla + </w:t>
      </w:r>
      <w:r>
        <w:t>[</w:t>
      </w:r>
      <w:r w:rsidRPr="00914654">
        <w:rPr>
          <w:shd w:val="clear" w:color="auto" w:fill="CCCCCC"/>
        </w:rPr>
        <w:t>číslo</w:t>
      </w:r>
      <w:r w:rsidRPr="00914654">
        <w:t xml:space="preserve">] (předvolba Nizozemí), + </w:t>
      </w:r>
      <w:r>
        <w:t>[</w:t>
      </w:r>
      <w:r w:rsidRPr="00914654">
        <w:rPr>
          <w:shd w:val="clear" w:color="auto" w:fill="CCCCCC"/>
        </w:rPr>
        <w:t>číslo</w:t>
      </w:r>
      <w:r w:rsidRPr="00914654">
        <w:t xml:space="preserve">] (předvolba Nigérie), přicestoval jako cestující linkového autobusu </w:t>
      </w:r>
      <w:r>
        <w:t>[</w:t>
      </w:r>
      <w:r w:rsidRPr="00914654">
        <w:rPr>
          <w:shd w:val="clear" w:color="auto" w:fill="CCCCCC"/>
        </w:rPr>
        <w:t>právnická osoba</w:t>
      </w:r>
      <w:r w:rsidRPr="00914654">
        <w:t xml:space="preserve">] jedoucího na trase z Bruselu (Belgické království) do Prahy přes státní hranici mezi Spolkovou republikou Německo a Českou republikou do místa bývalého hraničního přechodu </w:t>
      </w:r>
      <w:r>
        <w:t>[</w:t>
      </w:r>
      <w:r w:rsidRPr="00914654">
        <w:rPr>
          <w:shd w:val="clear" w:color="auto" w:fill="CCCCCC"/>
        </w:rPr>
        <w:t>spisová značka</w:t>
      </w:r>
      <w:r w:rsidRPr="00914654">
        <w:t xml:space="preserve">], kde proběhla kontrola orgány Celní správy České republiky, a vědomě ve svých tělních dutinách v rozporu s ustanovením § 4 zákona č. 167/1998 Sb., o návykových látkách, pašoval celkem 55 ks spolykaných kontejnerů tubulovitého tvaru symetrické velikosti 40 x 16 mm s obsahem bílé slisované látky ve fólii o celkové hmotnosti 542,67 g, ve které byl zjištěn methylester benzoylekgoninu (kokain) v množství 56 až 62,3 % vztaženo na bázi kokainu, což představuje 337,46 gramu čisté báze omamné látky kokainu, přičemž kontejnery s drogou, které převzal dne 21. 8. 2022 v blíže nezjištěném hotelu v Bruselu v Belgii od blíže nezjištěné osoby, měl v plánu za slíbený obnos nejméně 2.000 Euro dovézt z Belgie přes Spolkovou republiku Německo do Prahy a poté dalším autobusem do města Linz v Rakousku, kde mělo dojít k předání pašované drogy blíže nezjištěné osobě, přestože věděl, jaké zdravotní riziko si tímto svým jednáním může způsobit, když kokain je zařazen jako omamná látka v seznamu I podle Jednotné úmluvy o </w:t>
      </w:r>
      <w:r w:rsidRPr="00914654">
        <w:lastRenderedPageBreak/>
        <w:t>omamných látkách a je uveden v seznamu č. 1 nařízení vlády č. 463/2013 Sb., o seznamech návykových látek,</w:t>
      </w:r>
    </w:p>
    <w:p w14:paraId="4DE031C5" w14:textId="77777777" w:rsidR="00914654" w:rsidRDefault="00914654" w:rsidP="00914654">
      <w:pPr>
        <w:pStyle w:val="Neslovanvrok"/>
      </w:pPr>
      <w:r w:rsidRPr="00914654">
        <w:t>tedy neoprávněně dovezl a pro jiného přechovával omamnou látku a takový čin spáchal ve značném rozsahu,</w:t>
      </w:r>
    </w:p>
    <w:p w14:paraId="7ED4A442" w14:textId="26D497DB" w:rsidR="00914654" w:rsidRDefault="00914654" w:rsidP="00914654">
      <w:pPr>
        <w:pStyle w:val="Neslovanvrok"/>
      </w:pPr>
      <w:r w:rsidRPr="00914654">
        <w:t xml:space="preserve">2) v době od 24. 5. 2022 do 22. 8. 2022, kdy byl zadržen při vstupu na území České republiky v místě bývalého hraničního přechodu </w:t>
      </w:r>
      <w:r>
        <w:t>[</w:t>
      </w:r>
      <w:r w:rsidRPr="00914654">
        <w:rPr>
          <w:shd w:val="clear" w:color="auto" w:fill="CCCCCC"/>
        </w:rPr>
        <w:t>obec</w:t>
      </w:r>
      <w:r w:rsidRPr="00914654">
        <w:t xml:space="preserve">] jako cestující linkového autobusu společnosti F, jedoucího na trase z Bruselu (Belgické království) do Prahy, měl ve svém mobilním telefonu zn. Samsung </w:t>
      </w:r>
      <w:r>
        <w:t>[</w:t>
      </w:r>
      <w:r w:rsidRPr="00914654">
        <w:rPr>
          <w:shd w:val="clear" w:color="auto" w:fill="CCCCCC"/>
        </w:rPr>
        <w:t>anonymizováno</w:t>
      </w:r>
      <w:r w:rsidRPr="00914654">
        <w:t xml:space="preserve">], IMEI: </w:t>
      </w:r>
      <w:r>
        <w:t>[</w:t>
      </w:r>
      <w:r w:rsidRPr="00914654">
        <w:rPr>
          <w:shd w:val="clear" w:color="auto" w:fill="CCCCCC"/>
        </w:rPr>
        <w:t>číslo</w:t>
      </w:r>
      <w:r w:rsidRPr="00914654">
        <w:t xml:space="preserve">], IMEI: </w:t>
      </w:r>
      <w:r>
        <w:t>[</w:t>
      </w:r>
      <w:r w:rsidRPr="00914654">
        <w:rPr>
          <w:shd w:val="clear" w:color="auto" w:fill="CCCCCC"/>
        </w:rPr>
        <w:t>číslo</w:t>
      </w:r>
      <w:r w:rsidRPr="00914654">
        <w:t xml:space="preserve">] se sim kartou Visafone Nigeria </w:t>
      </w:r>
      <w:r>
        <w:t>[</w:t>
      </w:r>
      <w:r w:rsidRPr="00914654">
        <w:rPr>
          <w:shd w:val="clear" w:color="auto" w:fill="CCCCCC"/>
        </w:rPr>
        <w:t>anonymizováno</w:t>
      </w:r>
      <w:r w:rsidRPr="00914654">
        <w:t xml:space="preserve">]: </w:t>
      </w:r>
      <w:r>
        <w:t>[</w:t>
      </w:r>
      <w:r w:rsidRPr="00914654">
        <w:rPr>
          <w:shd w:val="clear" w:color="auto" w:fill="CCCCCC"/>
        </w:rPr>
        <w:t>číslo</w:t>
      </w:r>
      <w:r w:rsidRPr="00914654">
        <w:t xml:space="preserve">] a sim kartou Lycamobil Italy </w:t>
      </w:r>
      <w:r>
        <w:t>[</w:t>
      </w:r>
      <w:r w:rsidRPr="00914654">
        <w:rPr>
          <w:shd w:val="clear" w:color="auto" w:fill="CCCCCC"/>
        </w:rPr>
        <w:t>anonymizováno</w:t>
      </w:r>
      <w:r w:rsidRPr="00914654">
        <w:t xml:space="preserve">]: </w:t>
      </w:r>
      <w:r>
        <w:t>[</w:t>
      </w:r>
      <w:r w:rsidRPr="00914654">
        <w:rPr>
          <w:shd w:val="clear" w:color="auto" w:fill="CCCCCC"/>
        </w:rPr>
        <w:t>číslo</w:t>
      </w:r>
      <w:r w:rsidRPr="00914654">
        <w:t xml:space="preserve">], v úložišti videí uloženou zprávu obsahující soubor s videonahrávkou označený jako </w:t>
      </w:r>
      <w:r>
        <w:t>[</w:t>
      </w:r>
      <w:r w:rsidRPr="00914654">
        <w:rPr>
          <w:shd w:val="clear" w:color="auto" w:fill="CCCCCC"/>
        </w:rPr>
        <w:t>anonymizováno</w:t>
      </w:r>
      <w:r w:rsidRPr="00914654">
        <w:t xml:space="preserve">] </w:t>
      </w:r>
      <w:r>
        <w:t>[</w:t>
      </w:r>
      <w:r w:rsidRPr="00914654">
        <w:rPr>
          <w:shd w:val="clear" w:color="auto" w:fill="CCCCCC"/>
        </w:rPr>
        <w:t>číslo</w:t>
      </w:r>
      <w:r w:rsidRPr="00914654">
        <w:t xml:space="preserve">] o velikosti 2,68 MB a délce 30 vteřin, na kterém byly zachyceny děti či osoby jevící se jako děti při souloži, orálním pohlavním styku a v různých sexuálně vyzývavých a svádivých pozicích, přičemž tuto videonahrávku dostal dne 24. 5. 2022 v 21:3 4:24 hodin na blíže nezjištěném místě prostřednictvím aplikace WhatsApp od jemu známé osoby označené v telefonu jako </w:t>
      </w:r>
      <w:r>
        <w:t>[</w:t>
      </w:r>
      <w:r w:rsidRPr="00914654">
        <w:rPr>
          <w:shd w:val="clear" w:color="auto" w:fill="CCCCCC"/>
        </w:rPr>
        <w:t>anonymizována dvě slova</w:t>
      </w:r>
      <w:r w:rsidRPr="00914654">
        <w:t xml:space="preserve">] z telefonního čísla </w:t>
      </w:r>
      <w:r>
        <w:t>[</w:t>
      </w:r>
      <w:r w:rsidRPr="00914654">
        <w:rPr>
          <w:shd w:val="clear" w:color="auto" w:fill="CCCCCC"/>
        </w:rPr>
        <w:t>tel. číslo</w:t>
      </w:r>
      <w:r w:rsidRPr="00914654">
        <w:t>] (předvolba Itálie)</w:t>
      </w:r>
    </w:p>
    <w:p w14:paraId="559CD99A" w14:textId="77777777" w:rsidR="00914654" w:rsidRDefault="00914654" w:rsidP="00914654">
      <w:pPr>
        <w:pStyle w:val="Neslovanvrok"/>
      </w:pPr>
      <w:r w:rsidRPr="00914654">
        <w:t>tedy úmyslně přechovával filmové a elektronické pornografické dílo, které zobrazuje dítě nebo osobu, jež se jeví být dítětem,</w:t>
      </w:r>
    </w:p>
    <w:p w14:paraId="0A0EDD29" w14:textId="77777777" w:rsidR="00914654" w:rsidRDefault="00914654" w:rsidP="00914654">
      <w:pPr>
        <w:pStyle w:val="Neslovanvrok"/>
        <w:jc w:val="center"/>
        <w:rPr>
          <w:b/>
        </w:rPr>
      </w:pPr>
      <w:r w:rsidRPr="00914654">
        <w:rPr>
          <w:b/>
        </w:rPr>
        <w:t>čímž spáchal</w:t>
      </w:r>
    </w:p>
    <w:p w14:paraId="666CD6B6" w14:textId="77777777" w:rsidR="00914654" w:rsidRDefault="00914654" w:rsidP="00914654">
      <w:pPr>
        <w:pStyle w:val="Neslovanvrok"/>
      </w:pPr>
      <w:r w:rsidRPr="00914654">
        <w:t>ad 1) zločin nedovolená výroba a jiné nakládání s omamnými a psychotropními látkami a s jedy podle § 283 odst. 1, 2 písm. c) trestního zákoníku,</w:t>
      </w:r>
    </w:p>
    <w:p w14:paraId="456837C9" w14:textId="77777777" w:rsidR="00914654" w:rsidRDefault="00914654" w:rsidP="00914654">
      <w:pPr>
        <w:pStyle w:val="Neslovanvrok"/>
      </w:pPr>
      <w:r w:rsidRPr="00914654">
        <w:t>ad 2) přečin výroba a jiné nakládání s dětskou pornografií podle § 192 odst. 1 trestního zákoníku,</w:t>
      </w:r>
    </w:p>
    <w:p w14:paraId="405DCA37" w14:textId="77777777" w:rsidR="00914654" w:rsidRDefault="00914654" w:rsidP="00914654">
      <w:pPr>
        <w:pStyle w:val="Neslovanvrok"/>
        <w:jc w:val="center"/>
        <w:rPr>
          <w:b/>
        </w:rPr>
      </w:pPr>
      <w:r w:rsidRPr="00914654">
        <w:rPr>
          <w:b/>
        </w:rPr>
        <w:t>a odsuzuje se za to</w:t>
      </w:r>
    </w:p>
    <w:p w14:paraId="461CA7C4" w14:textId="77777777" w:rsidR="00914654" w:rsidRDefault="00914654" w:rsidP="00914654">
      <w:pPr>
        <w:pStyle w:val="Neslovanvrok"/>
      </w:pPr>
      <w:r w:rsidRPr="00914654">
        <w:t>podle § 283 odst. 2 trestního zákoníku za užití § 43 odst. 1 trestního zákoníku k úhrnnému trestu odnětí svobody ve výměře šest (6) let nepodmíněně.</w:t>
      </w:r>
    </w:p>
    <w:p w14:paraId="2C182275" w14:textId="77777777" w:rsidR="00914654" w:rsidRDefault="00914654" w:rsidP="00914654">
      <w:pPr>
        <w:pStyle w:val="Neslovanvrok"/>
      </w:pPr>
      <w:r w:rsidRPr="00914654">
        <w:t>Podle § 56 odst. 2 písm. a) trestního zákoníku se pro výkon trestu zařazuje do věznice s ostrahou.</w:t>
      </w:r>
    </w:p>
    <w:p w14:paraId="09D1EAAE" w14:textId="77777777" w:rsidR="00914654" w:rsidRDefault="00914654" w:rsidP="00914654">
      <w:pPr>
        <w:pStyle w:val="Neslovanvrok"/>
      </w:pPr>
      <w:r w:rsidRPr="00914654">
        <w:t>Podle § 80 odst. 1, 2 trestního zákoníku se mu dále ukládá trest vyhoštění z území České republiky na dobu pěti (5) let.</w:t>
      </w:r>
    </w:p>
    <w:p w14:paraId="1AD4281F" w14:textId="269B5FEB" w:rsidR="008A0B5D" w:rsidRPr="00914654" w:rsidRDefault="00914654" w:rsidP="00914654">
      <w:pPr>
        <w:pStyle w:val="Neslovanvrok"/>
      </w:pPr>
      <w:r w:rsidRPr="00914654">
        <w:t xml:space="preserve">Podle § 70 odst. 2 písm. a), odst. 4 trestního zákoníku se mu dále ukládá trest propadnutí věcí, a to 509,65 gramu kokainu (uloženo v režimovém skladu Krajského ředitelství policie Plzeňského kraje v bezpečnostní obálce </w:t>
      </w:r>
      <w:r>
        <w:t>[</w:t>
      </w:r>
      <w:r w:rsidRPr="00914654">
        <w:rPr>
          <w:shd w:val="clear" w:color="auto" w:fill="CCCCCC"/>
        </w:rPr>
        <w:t>číslo</w:t>
      </w:r>
      <w:r w:rsidRPr="00914654">
        <w:t xml:space="preserve">] pod </w:t>
      </w:r>
      <w:r>
        <w:t>[</w:t>
      </w:r>
      <w:r w:rsidRPr="00914654">
        <w:rPr>
          <w:shd w:val="clear" w:color="auto" w:fill="CCCCCC"/>
        </w:rPr>
        <w:t>anonymizováno</w:t>
      </w:r>
      <w:r w:rsidRPr="00914654">
        <w:t xml:space="preserve">] </w:t>
      </w:r>
      <w:r>
        <w:t>[</w:t>
      </w:r>
      <w:r w:rsidRPr="00914654">
        <w:rPr>
          <w:shd w:val="clear" w:color="auto" w:fill="CCCCCC"/>
        </w:rPr>
        <w:t>číslo</w:t>
      </w:r>
      <w:r w:rsidRPr="00914654">
        <w:t xml:space="preserve">]) a 9,17 gramu kokainu (uloženo na </w:t>
      </w:r>
      <w:r>
        <w:t>[</w:t>
      </w:r>
      <w:r w:rsidRPr="00914654">
        <w:rPr>
          <w:shd w:val="clear" w:color="auto" w:fill="CCCCCC"/>
        </w:rPr>
        <w:t>anonymizována dvě slova</w:t>
      </w:r>
      <w:r w:rsidRPr="00914654">
        <w:t xml:space="preserve">] </w:t>
      </w:r>
      <w:r>
        <w:t>[</w:t>
      </w:r>
      <w:r w:rsidRPr="00914654">
        <w:rPr>
          <w:shd w:val="clear" w:color="auto" w:fill="CCCCCC"/>
        </w:rPr>
        <w:t>obec</w:t>
      </w:r>
      <w:r w:rsidRPr="00914654">
        <w:t xml:space="preserve">], </w:t>
      </w:r>
      <w:r>
        <w:t>[</w:t>
      </w:r>
      <w:r w:rsidRPr="00914654">
        <w:rPr>
          <w:shd w:val="clear" w:color="auto" w:fill="CCCCCC"/>
        </w:rPr>
        <w:t>ulice a číslo</w:t>
      </w:r>
      <w:r w:rsidRPr="00914654">
        <w:t>]), včetně obalového materiálu (rozbalené kontejnery).</w:t>
      </w:r>
    </w:p>
    <w:p w14:paraId="5813DEDD" w14:textId="77777777" w:rsidR="008A0B5D" w:rsidRDefault="008A0B5D" w:rsidP="008A0B5D">
      <w:pPr>
        <w:pStyle w:val="Nadpisstirozsudku"/>
      </w:pPr>
      <w:r>
        <w:t>Odůvodnění:</w:t>
      </w:r>
    </w:p>
    <w:p w14:paraId="0D59A792" w14:textId="5DCE3701" w:rsidR="00F11093" w:rsidRPr="00914654" w:rsidRDefault="00914654" w:rsidP="00914654">
      <w:r w:rsidRPr="00914654">
        <w:t>Podle ust. § 129 odst. 2 trestního řádu odůvodnění rozsudku odpadá, jelikož se ihned po jeho vyhlášení obžalovaný a státní zástupkyně vzdali práva podat odvolání (obžalovaný uvedl, že si nepřeje, aby v jeho prospěch podávaly odvolání osoby zmocněné k tomu ze zákona) a prohlásili, že netrvají na vyhotovení písemného odůvodnění.</w:t>
      </w:r>
    </w:p>
    <w:p w14:paraId="437E3300" w14:textId="77777777" w:rsidR="008A0B5D" w:rsidRDefault="008A0B5D" w:rsidP="008A0B5D">
      <w:pPr>
        <w:pStyle w:val="Nadpisstirozsudku"/>
      </w:pPr>
      <w:r>
        <w:t>Poučení:</w:t>
      </w:r>
    </w:p>
    <w:p w14:paraId="34F35EFC" w14:textId="77777777" w:rsidR="00914654" w:rsidRDefault="00914654" w:rsidP="00914654">
      <w:r w:rsidRPr="00914654">
        <w:t>Proti tomuto rozsudku je možno podat odvolání do 8 dnů od doručení jeho opisu ke Krajskému soudu v Plzni prostřednictvím podepsaného soudu ve trojím vyhotovení. Ve prospěch obžalovaného mohou podat odvolání příbuzní v pokolení přímém a sourozenci ve stejné lhůtě. Odvolání musí být odůvodněno tak, aby z něj bylo patrno, ve kterých výrocích je rozsudek napadán a jaké vady jsou vytýkány rozsudku nebo řízení, které rozsudku předcházelo. Rozsudek může odvoláním napadnout státní zástupce pro nesprávnost kteréhokoli výroku, obžalovaný pro nesprávnost výroku, který se ho přímo dotýká, zúčastněná osoba pro nesprávnost výroku o zabrání věci a poškozený, který uplatnil nárok na náhradu škody, pro nesprávnost výroku o náhradě škody.</w:t>
      </w:r>
    </w:p>
    <w:p w14:paraId="5B777239" w14:textId="778FBED0" w:rsidR="006B14EC" w:rsidRPr="00914654" w:rsidRDefault="00914654" w:rsidP="00914654">
      <w:pPr>
        <w:rPr>
          <w:b/>
        </w:rPr>
      </w:pPr>
      <w:r w:rsidRPr="00914654">
        <w:rPr>
          <w:b/>
        </w:rPr>
        <w:t>Okresní soud v Tachově</w:t>
      </w:r>
    </w:p>
    <w:p w14:paraId="1065CBC7" w14:textId="25847804" w:rsidR="006B14EC" w:rsidRPr="001F0625" w:rsidRDefault="00914654" w:rsidP="006B14EC">
      <w:pPr>
        <w:keepNext/>
        <w:spacing w:before="960"/>
        <w:rPr>
          <w:szCs w:val="22"/>
        </w:rPr>
      </w:pPr>
      <w:r>
        <w:rPr>
          <w:szCs w:val="22"/>
        </w:rPr>
        <w:t>Tachov</w:t>
      </w:r>
      <w:r w:rsidR="006B14EC" w:rsidRPr="001F0625">
        <w:rPr>
          <w:szCs w:val="22"/>
        </w:rPr>
        <w:t xml:space="preserve"> </w:t>
      </w:r>
      <w:r>
        <w:t>22. února 2023</w:t>
      </w:r>
    </w:p>
    <w:p w14:paraId="2C474751" w14:textId="5428EA91" w:rsidR="006B69A5" w:rsidRDefault="00914654" w:rsidP="00845CC2">
      <w:pPr>
        <w:keepNext/>
        <w:spacing w:before="480"/>
        <w:jc w:val="left"/>
      </w:pPr>
      <w:r>
        <w:t>Mgr. Michaela Řezníčková</w:t>
      </w:r>
      <w:r w:rsidR="006B14EC">
        <w:br/>
      </w:r>
      <w:r>
        <w:t>předsedkyně senátu</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FA342" w14:textId="77777777" w:rsidR="001E1D50" w:rsidRDefault="001E1D50" w:rsidP="00B83118">
      <w:pPr>
        <w:spacing w:after="0"/>
      </w:pPr>
      <w:r>
        <w:separator/>
      </w:r>
    </w:p>
  </w:endnote>
  <w:endnote w:type="continuationSeparator" w:id="0">
    <w:p w14:paraId="44932B25" w14:textId="77777777" w:rsidR="001E1D50" w:rsidRDefault="001E1D50"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E75E5" w14:textId="77777777" w:rsidR="00914654" w:rsidRDefault="009146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CF9CC" w14:textId="77777777" w:rsidR="00914654" w:rsidRDefault="009146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C037" w14:textId="77777777" w:rsidR="00914654" w:rsidRDefault="009146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68E18" w14:textId="77777777" w:rsidR="001E1D50" w:rsidRDefault="001E1D50" w:rsidP="00B83118">
      <w:pPr>
        <w:spacing w:after="0"/>
      </w:pPr>
      <w:r>
        <w:separator/>
      </w:r>
    </w:p>
  </w:footnote>
  <w:footnote w:type="continuationSeparator" w:id="0">
    <w:p w14:paraId="67582484" w14:textId="77777777" w:rsidR="001E1D50" w:rsidRDefault="001E1D50"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A4E4" w14:textId="77777777" w:rsidR="00914654" w:rsidRDefault="009146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B76E4" w14:textId="61550A0E" w:rsidR="00B83118" w:rsidRDefault="00B83118">
    <w:pPr>
      <w:pStyle w:val="Zhlav"/>
    </w:pPr>
    <w:r>
      <w:tab/>
    </w:r>
    <w:r>
      <w:fldChar w:fldCharType="begin"/>
    </w:r>
    <w:r>
      <w:instrText>PAGE   \* MERGEFORMAT</w:instrText>
    </w:r>
    <w:r>
      <w:fldChar w:fldCharType="separate"/>
    </w:r>
    <w:r w:rsidR="00845CC2">
      <w:rPr>
        <w:noProof/>
      </w:rPr>
      <w:t>2</w:t>
    </w:r>
    <w:r>
      <w:fldChar w:fldCharType="end"/>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94C83" w14:textId="1F3A6ADB" w:rsidR="00B83118" w:rsidRDefault="00B83118" w:rsidP="00B83118">
    <w:pPr>
      <w:pStyle w:val="Zhlav"/>
      <w:jc w:val="right"/>
    </w:pPr>
    <w:r>
      <w:t xml:space="preserve">Číslo jednací: </w:t>
    </w:r>
    <w:r w:rsidR="00E00BC7">
      <w:t>9 T 3/2023 -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2941493">
    <w:abstractNumId w:val="2"/>
  </w:num>
  <w:num w:numId="2" w16cid:durableId="1427845950">
    <w:abstractNumId w:val="1"/>
  </w:num>
  <w:num w:numId="3" w16cid:durableId="1249197797">
    <w:abstractNumId w:val="0"/>
  </w:num>
  <w:num w:numId="4" w16cid:durableId="1748653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43F72"/>
    <w:rsid w:val="001514AB"/>
    <w:rsid w:val="001669E1"/>
    <w:rsid w:val="00170070"/>
    <w:rsid w:val="00174606"/>
    <w:rsid w:val="00174B60"/>
    <w:rsid w:val="00176782"/>
    <w:rsid w:val="00176E37"/>
    <w:rsid w:val="001975C8"/>
    <w:rsid w:val="001B681D"/>
    <w:rsid w:val="001C30B5"/>
    <w:rsid w:val="001E1D50"/>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A6BBC"/>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4654"/>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01E86"/>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0BC7"/>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941FC"/>
  <w15:docId w15:val="{AB6155F7-6762-4633-BE08-50D70BDB2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785</Words>
  <Characters>4633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3</cp:revision>
  <cp:lastPrinted>2018-07-30T21:25:00Z</cp:lastPrinted>
  <dcterms:created xsi:type="dcterms:W3CDTF">2025-11-12T12:52:00Z</dcterms:created>
  <dcterms:modified xsi:type="dcterms:W3CDTF">2025-11-12T12:59:00Z</dcterms:modified>
</cp:coreProperties>
</file>